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1E3" w:rsidRPr="008121E3" w:rsidRDefault="008121E3" w:rsidP="008121E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</w:pP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lang w:eastAsia="ru-RU"/>
        </w:rPr>
        <w:t>ИНСТРУКЦИЯ ПО ПРИМЕНЕНИЮ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i/>
          <w:iCs/>
          <w:color w:val="000000"/>
          <w:sz w:val="19"/>
          <w:szCs w:val="19"/>
          <w:lang w:eastAsia="ru-RU"/>
        </w:rPr>
        <w:t>Лекарственное средство, действующее на сердечно-сосудистую систему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proofErr w:type="spellStart"/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lang w:eastAsia="ru-RU"/>
        </w:rPr>
        <w:t>®</w:t>
      </w:r>
    </w:p>
    <w:p w:rsidR="00AE0AF6" w:rsidRDefault="008121E3" w:rsidP="008121E3"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Действующее вещество: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Пимобендан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Для животных: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Собаки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Состав: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 1 капсула/таблетка препарата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® содержит: действующего вещества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Пимобендана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от 1,25 мг до 10 мг в зависимости от дозировки.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Форма выпуска и содержание: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Упаковка, содержащая 100 капсул или 50 таблеток.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Фирма-производитель: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Boehringer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Ingelheim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Vetmedica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GmbH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Binger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Str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. 173 55216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Ingelheim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Область применения: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 Лечение сердечной недостаточности у собак, вызванной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дилатационной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кардиомиопатией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или недостаточностью клапанов (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регургитация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митрального и/или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трикуспидального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клапанов) с характерными симптомами, такими как, например, кашель, одышка, снижение толерантности к нагрузкам или асцит.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Противопоказания: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® не следует применять при гипертрофической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кардиомиопатии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и заболеваниях, при которых увеличение сердечного выброса не может быть достигнуто по функциональным или анатомическим причинам (например, при стенозе устья аорты). Поскольку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® выделяется из организма преимущественно через печень, этот препарат не должен применяться у собак с тяжелыми формами печеночной недостаточности.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Меры предосторожности: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У собак больных сахарным диабетом во время лечения необходимо осуществлять регулярный контроль уровня глюкозы в крови.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Взаимодействие с другими средствами: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</w:t>
      </w:r>
      <w:proofErr w:type="gram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В</w:t>
      </w:r>
      <w:proofErr w:type="gram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фармакологических исследованиях не удалось установить никакого взаимодействия между сердечным гликозидом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строфантином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и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пимобенданом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. Индуцированный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пимобенданом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подъем фракции сократимости ослабляется антагонистами кальция, такими как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верапамил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и бета-адреноблокаторами, такими как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пропранолол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Дозировка, форма и сроки применения: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 Дозировка составляет 0,5 мг действующего вещества на 1 кг массы тела, суточную дозу распределяют на 2 приема. Это соответствует 1 капсуле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® 1,25 мг утром и 1 капсуле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® 1,25 мг вечером на 5 кг живой массы. Широта терапевтической дозировки колеблется от 0,2 мг до 0,6 мг на 1 кг массы тела, разделенные на 2 приема в сутки, ежедневно.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® необходимо давать через рот. Дача препарата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® должна происходить примерно за один час до кормления.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® может назначаться также в комбинации с мочегонным средством, например, фуросемидом. В случае декомпенсированной сердечной недостаточности рекомендована пожизненная продолжительная терапия препаратом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Vetmedin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®. Поддерживающая доза должна быть подобрана индивидуально в зависимости от тяжести заболевания.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Рекомендации в случае передозировки: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</w:t>
      </w:r>
      <w:proofErr w:type="gram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В</w:t>
      </w:r>
      <w:proofErr w:type="gram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случае передозировки производят симптоматичное лечение.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Побочные действия: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 В редких случаях встречается легкое положительно </w:t>
      </w:r>
      <w:proofErr w:type="spellStart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хронотропное</w:t>
      </w:r>
      <w:proofErr w:type="spellEnd"/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 xml:space="preserve"> действие (повышение ЧСС), а также рвота. Эти эффекты зависят от дозы и могут быть предотвращены сокращением дозы. Если Вы отмечаете побочные явления у Вашего животного, которые не представлены в этой инструкции, сообщите ее {их} Вашему ветеринарному врачу или сотруднику аптеки.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Время выведения: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Не указано.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Примечание: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У продуктивных животных не применяют.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b/>
          <w:bCs/>
          <w:color w:val="000000"/>
          <w:sz w:val="19"/>
          <w:szCs w:val="19"/>
          <w:shd w:val="clear" w:color="auto" w:fill="FFFFFF"/>
          <w:lang w:eastAsia="ru-RU"/>
        </w:rPr>
        <w:t>Примечания и указания по хранению лекарственного средства: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 По истечению срока указанного на флаконе и на внешней упаковке лекарственное средство не применяют.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Лекарство по истечении на контейнере и внешней упаковке указанного срока годности больше не применяют.</w:t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lang w:eastAsia="ru-RU"/>
        </w:rPr>
        <w:br/>
      </w:r>
      <w:r w:rsidRPr="008121E3">
        <w:rPr>
          <w:rFonts w:ascii="Verdana" w:eastAsia="Times New Roman" w:hAnsi="Verdana" w:cs="Times New Roman"/>
          <w:color w:val="000000"/>
          <w:sz w:val="19"/>
          <w:szCs w:val="19"/>
          <w:shd w:val="clear" w:color="auto" w:fill="FFFFFF"/>
          <w:lang w:eastAsia="ru-RU"/>
        </w:rPr>
        <w:t>Хранить при температуре не выше 25 °C.2</w:t>
      </w:r>
      <w:bookmarkStart w:id="0" w:name="_GoBack"/>
      <w:bookmarkEnd w:id="0"/>
    </w:p>
    <w:sectPr w:rsidR="00AE0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812"/>
    <w:rsid w:val="00221812"/>
    <w:rsid w:val="008121E3"/>
    <w:rsid w:val="00AE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CABF4-D6B2-46BA-8BB7-F2D33DD1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Глазырина</dc:creator>
  <cp:keywords/>
  <dc:description/>
  <cp:lastModifiedBy>Валентина Глазырина</cp:lastModifiedBy>
  <cp:revision>2</cp:revision>
  <dcterms:created xsi:type="dcterms:W3CDTF">2016-12-30T06:11:00Z</dcterms:created>
  <dcterms:modified xsi:type="dcterms:W3CDTF">2016-12-30T06:11:00Z</dcterms:modified>
</cp:coreProperties>
</file>